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93" w:rsidRPr="0020123B" w:rsidRDefault="00DF1293" w:rsidP="00DF1293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70BC2" w:rsidRPr="00654822" w:rsidRDefault="007B348D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от ОС</w:t>
      </w:r>
      <w:r w:rsidR="0042339B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П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рез предходната година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:rsidR="00670BC2" w:rsidRPr="00654822" w:rsidRDefault="00670BC2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:rsidR="004C5A42" w:rsidRPr="00654822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да се следи за текущото изпълнение и за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 добро планиране на оценките за надзор и преакредитация на органите 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сертификация на продукти,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са определени показатели за изпълнение  на дейността на 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ОСП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:rsidR="004C5A42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трябва да се представя от ОС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до 03 януари всяка година, като събраните данни са за предходната година от 01 януари до 31 декември. Напр. ОС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трябва да представят</w:t>
      </w:r>
      <w:r w:rsidR="00F9124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данни по посочените в таблица 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показатели до 03.01.20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22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г. за дейността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която са извършили от 01.01.20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г. до 31.12.20</w:t>
      </w:r>
      <w:r w:rsidR="0042339B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г. </w:t>
      </w:r>
    </w:p>
    <w:p w:rsidR="000C2403" w:rsidRPr="000C2403" w:rsidRDefault="000C2403" w:rsidP="000C2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20123B" w:rsidRDefault="00D85BFA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:rsidR="00922146" w:rsidRPr="00B11D86" w:rsidRDefault="00922146" w:rsidP="00922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5727B3" w:rsidRPr="00B11D86" w:rsidRDefault="00D85BFA" w:rsidP="009221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 Брой на сертификатите под акредитация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валидни до края на декември, като преброяването трябва да става като се следват  правилата</w:t>
      </w:r>
      <w:r w:rsidR="005727B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:</w:t>
      </w:r>
    </w:p>
    <w:p w:rsidR="005727B3" w:rsidRPr="00B11D86" w:rsidRDefault="00D85BFA" w:rsidP="009221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-  ако клиент притежава  валиден сертификат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който обхваща една площадк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а/ местоположение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това се брои като един сертификат. </w:t>
      </w:r>
    </w:p>
    <w:p w:rsidR="005727B3" w:rsidRPr="00B11D86" w:rsidRDefault="005727B3" w:rsidP="009221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- а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ко един клиент притежава един сертификат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който обхваща повече от една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площадка/ местоположение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се брои като един сертификат, </w:t>
      </w:r>
    </w:p>
    <w:p w:rsidR="00D85BFA" w:rsidRPr="00B11D86" w:rsidRDefault="005727B3" w:rsidP="0092214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- 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ако за отделните местоположения на един клиент са издадени  отделни сертификати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се 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брои</w:t>
      </w:r>
      <w:r w:rsidR="00D85BF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всеки един издаден сертификат за местоположение.</w:t>
      </w:r>
    </w:p>
    <w:p w:rsidR="0020123B" w:rsidRPr="00B11D86" w:rsidRDefault="00945332" w:rsidP="0092214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- </w:t>
      </w:r>
      <w:r w:rsidR="00922146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</w:t>
      </w:r>
      <w:r w:rsidR="005727B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 валиден сертификат се счита този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който е във ва</w:t>
      </w:r>
      <w:r w:rsidR="005727B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лидност съгласно сключен договор (с активна или временно спряна сертификация). Отнети сертификати не се считат за валидни и не се броят. </w:t>
      </w:r>
    </w:p>
    <w:p w:rsidR="0020123B" w:rsidRPr="00B11D86" w:rsidRDefault="005727B3" w:rsidP="0092214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3.2 Брой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оценяващ персонал 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-  дава се информация за броя на о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ценяващия персонал за съответната схема за сертификация</w:t>
      </w:r>
      <w:r w:rsidR="000B6C0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:rsidR="0020123B" w:rsidRPr="00B11D86" w:rsidRDefault="000B6C0A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3.3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Брой прехвърлени и приети сертификати от ОСП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през отчетната година,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ава 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 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за </w:t>
      </w:r>
      <w:r w:rsidR="001726A9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броя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сертификати, прехвърлени и приети от ОСП от друг ОСП. </w:t>
      </w:r>
    </w:p>
    <w:p w:rsidR="000B6C0A" w:rsidRPr="00B11D86" w:rsidRDefault="000B6C0A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FF7504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Брой оценяващ персонал в други държави – дава се информация </w:t>
      </w:r>
      <w:r w:rsidR="00FF7504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броя на персонала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 държави.</w:t>
      </w:r>
    </w:p>
    <w:p w:rsidR="00012F0E" w:rsidRPr="00B11D86" w:rsidRDefault="00012F0E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FF7504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5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</w:rPr>
        <w:t>Брой сертификати издадени в други държави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– дава се информация за д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ържави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издавал сертификати през отчетния период и съответния брой издадени сертификати. Дава се информация за всяка </w:t>
      </w:r>
      <w:r w:rsidR="00945332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схема за сертификация на продукти.</w:t>
      </w:r>
    </w:p>
    <w:p w:rsidR="0039445F" w:rsidRPr="00B11D86" w:rsidRDefault="00FF7504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3.6 Офиси и ключови дейности в други държави- 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дава 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се информация за държави</w:t>
      </w:r>
      <w:r w:rsidR="00897270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 които ОС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има офис</w:t>
      </w:r>
      <w:r w:rsidR="00012F0E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ключовите  дейности</w:t>
      </w:r>
      <w:r w:rsidR="00012F0E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които се извършват в офисите.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</w:p>
    <w:p w:rsidR="0039445F" w:rsidRPr="00B11D86" w:rsidRDefault="00012F0E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897270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7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Брой сертификати</w:t>
      </w:r>
      <w:r w:rsidR="00DF1293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издадени от всеки офис в друга държава</w:t>
      </w: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за всяка  </w:t>
      </w:r>
      <w:r w:rsidR="00897270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схема за сертификация на продукти.</w:t>
      </w:r>
    </w:p>
    <w:p w:rsidR="002A088A" w:rsidRDefault="00DF1293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897270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8</w:t>
      </w:r>
      <w:r w:rsidR="00012F0E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</w:t>
      </w:r>
      <w:r w:rsidR="002A088A" w:rsidRPr="00B11D86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рой на спрени  и отнети сертификати за отчетния период. </w:t>
      </w:r>
    </w:p>
    <w:p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5134E5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5134E5" w:rsidRPr="00B11D86" w:rsidRDefault="005134E5" w:rsidP="000C24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2C39B8" w:rsidRPr="00654822" w:rsidRDefault="002C39B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F91244" w:rsidRDefault="00F91244" w:rsidP="00F91244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Таблица 1</w:t>
      </w:r>
    </w:p>
    <w:p w:rsidR="00DB5602" w:rsidRPr="00956C8F" w:rsidRDefault="00DB5602" w:rsidP="00DB5602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proofErr w:type="gramStart"/>
      <w:r w:rsidRPr="00956C8F">
        <w:rPr>
          <w:rFonts w:ascii="Verdana" w:hAnsi="Verdana"/>
          <w:b/>
          <w:sz w:val="20"/>
          <w:szCs w:val="20"/>
        </w:rPr>
        <w:t>ИНФОРМАЦИЯ  ПО</w:t>
      </w:r>
      <w:proofErr w:type="gramEnd"/>
      <w:r w:rsidRPr="00956C8F">
        <w:rPr>
          <w:rFonts w:ascii="Verdana" w:hAnsi="Verdana"/>
          <w:b/>
          <w:sz w:val="20"/>
          <w:szCs w:val="20"/>
        </w:rPr>
        <w:t xml:space="preserve">  ПОКАЗАТЕЛИ ЗА ИЗПЪЛНЕНИЕ  НА ДЕЙНОСТТА НА О</w:t>
      </w:r>
      <w:r>
        <w:rPr>
          <w:rFonts w:ascii="Verdana" w:hAnsi="Verdana"/>
          <w:b/>
          <w:sz w:val="20"/>
          <w:szCs w:val="20"/>
          <w:lang w:val="bg-BG"/>
        </w:rPr>
        <w:t>СП</w:t>
      </w:r>
    </w:p>
    <w:tbl>
      <w:tblPr>
        <w:tblW w:w="10506" w:type="dxa"/>
        <w:tblInd w:w="-318" w:type="dxa"/>
        <w:tblLook w:val="04A0" w:firstRow="1" w:lastRow="0" w:firstColumn="1" w:lastColumn="0" w:noHBand="0" w:noVBand="1"/>
      </w:tblPr>
      <w:tblGrid>
        <w:gridCol w:w="4476"/>
        <w:gridCol w:w="6030"/>
      </w:tblGrid>
      <w:tr w:rsidR="00DB5602" w:rsidRPr="00956C8F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602" w:rsidRPr="00956C8F" w:rsidRDefault="00DB5602" w:rsidP="002E012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Орган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01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за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012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продукти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602" w:rsidRPr="00956C8F" w:rsidRDefault="00DB5602" w:rsidP="007C14AD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602" w:rsidRPr="00956C8F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602" w:rsidRPr="00956C8F" w:rsidRDefault="00DB5602" w:rsidP="00DB56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Адрес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ОС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П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тел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., е-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602" w:rsidRPr="00956C8F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602" w:rsidRPr="00956C8F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602" w:rsidRPr="00956C8F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Сертификат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B5602" w:rsidRPr="00DB5602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рег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№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………</w:t>
            </w:r>
            <w:proofErr w:type="gram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…..</w:t>
            </w:r>
            <w:proofErr w:type="gram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602" w:rsidRPr="00956C8F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602" w:rsidRPr="00956C8F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602" w:rsidRPr="00956C8F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Заповед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№………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602" w:rsidRPr="00956C8F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5602" w:rsidRPr="00956C8F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602" w:rsidRPr="00956C8F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Ръководител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ОСП</w:t>
            </w:r>
            <w:r w:rsidR="009549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9549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 w:rsidR="009549E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602" w:rsidRPr="00956C8F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5602" w:rsidRPr="00956C8F" w:rsidTr="00DB5602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602" w:rsidRPr="00956C8F" w:rsidRDefault="00DB5602" w:rsidP="007C14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докладване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602" w:rsidRPr="00956C8F" w:rsidRDefault="00DB5602" w:rsidP="00DB5602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напр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01.01.2021 г. – 31.12.2021 г. </w:t>
            </w:r>
          </w:p>
        </w:tc>
      </w:tr>
    </w:tbl>
    <w:p w:rsidR="0042339B" w:rsidRPr="00964CFB" w:rsidRDefault="0042339B" w:rsidP="0042339B">
      <w:pPr>
        <w:spacing w:after="0"/>
        <w:jc w:val="center"/>
        <w:rPr>
          <w:b/>
          <w:sz w:val="16"/>
          <w:szCs w:val="16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085"/>
        <w:gridCol w:w="1249"/>
        <w:gridCol w:w="1276"/>
        <w:gridCol w:w="1276"/>
        <w:gridCol w:w="1417"/>
        <w:gridCol w:w="1276"/>
        <w:gridCol w:w="1418"/>
      </w:tblGrid>
      <w:tr w:rsidR="00FF7504" w:rsidRPr="00CC7AF0" w:rsidTr="000C2403">
        <w:trPr>
          <w:trHeight w:val="106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C7AF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F7504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CC7AF0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Обхват на акредитация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/</w:t>
            </w:r>
          </w:p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показатели за дейността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7504" w:rsidRPr="00CC7AF0" w:rsidRDefault="00FF7504" w:rsidP="00FF75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>Регламент</w:t>
            </w:r>
            <w:proofErr w:type="spellEnd"/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 xml:space="preserve"> (ЕО) № 834/2007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;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7504" w:rsidRPr="00CC7AF0" w:rsidRDefault="00FF7504" w:rsidP="00FF7504">
            <w:pPr>
              <w:jc w:val="both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  <w:r w:rsidRPr="00CC7AF0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Регламент (ЕС) № 1151/2012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7504" w:rsidRPr="00CC7AF0" w:rsidRDefault="00FF7504" w:rsidP="00FF7504">
            <w:pPr>
              <w:jc w:val="both"/>
              <w:rPr>
                <w:sz w:val="16"/>
                <w:szCs w:val="16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>Регламент</w:t>
            </w:r>
            <w:proofErr w:type="spellEnd"/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 xml:space="preserve"> (ЕС) № 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305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>/201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  <w:lang w:val="bg-BG"/>
              </w:rPr>
              <w:t>1</w:t>
            </w:r>
            <w:r w:rsidRPr="00CC7AF0">
              <w:rPr>
                <w:rFonts w:ascii="Verdana" w:eastAsia="Times New Roman" w:hAnsi="Verdana" w:cs="Times New Roman"/>
                <w:sz w:val="16"/>
                <w:szCs w:val="16"/>
              </w:rPr>
              <w:t xml:space="preserve"> </w:t>
            </w:r>
          </w:p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F7504" w:rsidRPr="00FF7504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Строителни продукти в доброволната област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Машини и съоръжения</w:t>
            </w:r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F7504" w:rsidRPr="000C2403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</w:rPr>
              <w:t xml:space="preserve"> </w:t>
            </w:r>
            <w:r w:rsidR="000C2403">
              <w:rPr>
                <w:rFonts w:ascii="Verdana" w:eastAsia="Times New Roman" w:hAnsi="Verdana" w:cs="Calibri"/>
                <w:bCs/>
                <w:color w:val="000000"/>
                <w:sz w:val="16"/>
                <w:szCs w:val="16"/>
                <w:lang w:val="bg-BG"/>
              </w:rPr>
              <w:t>(посочва се областта на дейност</w:t>
            </w:r>
          </w:p>
        </w:tc>
      </w:tr>
      <w:tr w:rsidR="00FF7504" w:rsidRPr="00CC7AF0" w:rsidTr="000C2403">
        <w:trPr>
          <w:trHeight w:val="7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сертификати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валидни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до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края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м. </w:t>
            </w: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декември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:rsidTr="00344023">
        <w:trPr>
          <w:trHeight w:val="615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3.2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о</w:t>
            </w: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ценяващ персонал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ind w:left="-1300" w:firstLine="130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04" w:rsidRPr="00CC7AF0" w:rsidRDefault="00FF7504" w:rsidP="00FF7504">
            <w:pPr>
              <w:spacing w:after="0" w:line="240" w:lineRule="auto"/>
              <w:ind w:left="-1300" w:firstLine="1300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945332" w:rsidTr="000C2403">
        <w:trPr>
          <w:trHeight w:val="683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45332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3.3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945332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45332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Брой прехвърлени</w:t>
            </w: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и приети</w:t>
            </w:r>
            <w:r w:rsidRPr="00945332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сертификати </w:t>
            </w: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от </w:t>
            </w:r>
            <w:r w:rsidRPr="00945332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ОСП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04" w:rsidRPr="00945332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:rsidTr="000C2403">
        <w:trPr>
          <w:trHeight w:val="683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4" w:rsidRPr="0042339B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3.4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proofErr w:type="spellStart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о</w:t>
            </w:r>
            <w:r w:rsidRPr="00CC7AF0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ценяващ персонал</w:t>
            </w: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 xml:space="preserve"> в други държави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:rsidTr="000C2403">
        <w:trPr>
          <w:trHeight w:val="7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3.5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 xml:space="preserve">Брой сертификати издадени в други държави*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:rsidTr="000C2403">
        <w:trPr>
          <w:trHeight w:val="7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Офиси и ключови дейности в други държави*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:rsidTr="000C2403">
        <w:trPr>
          <w:trHeight w:val="7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Брой сертификати издадени от 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фис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и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в друга държава</w:t>
            </w: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*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FF7504" w:rsidRPr="00CC7AF0" w:rsidTr="000C2403">
        <w:trPr>
          <w:trHeight w:val="71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3.8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04" w:rsidRPr="00CC7AF0" w:rsidRDefault="00FF7504" w:rsidP="00FF750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CC7AF0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Брой на спрени  и отнети сертификати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504" w:rsidRPr="00CC7AF0" w:rsidRDefault="00FF7504" w:rsidP="00FF750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</w:tbl>
    <w:p w:rsidR="0042339B" w:rsidRPr="006D62E8" w:rsidRDefault="0042339B" w:rsidP="0042339B">
      <w:pPr>
        <w:rPr>
          <w:rFonts w:ascii="Verdana" w:eastAsia="Times New Roman" w:hAnsi="Verdana" w:cs="Times New Roman"/>
          <w:i/>
          <w:noProof/>
          <w:sz w:val="20"/>
          <w:szCs w:val="20"/>
        </w:rPr>
      </w:pPr>
      <w:r>
        <w:rPr>
          <w:b/>
          <w:sz w:val="16"/>
          <w:szCs w:val="16"/>
        </w:rPr>
        <w:t>*</w:t>
      </w:r>
      <w:proofErr w:type="spellStart"/>
      <w:r w:rsidRPr="002C1535">
        <w:rPr>
          <w:b/>
          <w:sz w:val="16"/>
          <w:szCs w:val="16"/>
        </w:rPr>
        <w:t>Посочват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се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държавите</w:t>
      </w:r>
      <w:proofErr w:type="spellEnd"/>
      <w:r w:rsidRPr="006D62E8">
        <w:rPr>
          <w:rFonts w:ascii="Verdana" w:eastAsia="Times New Roman" w:hAnsi="Verdana" w:cs="Times New Roman"/>
          <w:i/>
          <w:noProof/>
          <w:sz w:val="20"/>
          <w:szCs w:val="20"/>
        </w:rPr>
        <w:t xml:space="preserve"> </w:t>
      </w:r>
    </w:p>
    <w:p w:rsidR="00DB5602" w:rsidRPr="00344023" w:rsidRDefault="00DB5602" w:rsidP="00DB5602">
      <w:pPr>
        <w:spacing w:after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44023">
        <w:rPr>
          <w:rFonts w:ascii="Verdana" w:eastAsia="Times New Roman" w:hAnsi="Verdana" w:cs="Times New Roman"/>
          <w:sz w:val="18"/>
          <w:szCs w:val="18"/>
          <w:lang w:val="bg-BG"/>
        </w:rPr>
        <w:t>Ръководител на ОСП:…………………………………………………………………………………………………………….</w:t>
      </w:r>
    </w:p>
    <w:p w:rsidR="00DB5602" w:rsidRPr="00344023" w:rsidRDefault="00DB5602" w:rsidP="00DB56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44023">
        <w:rPr>
          <w:rFonts w:ascii="Verdana" w:eastAsia="Times New Roman" w:hAnsi="Verdana" w:cs="Times New Roman"/>
          <w:sz w:val="18"/>
          <w:szCs w:val="18"/>
          <w:lang w:val="bg-BG"/>
        </w:rPr>
        <w:t xml:space="preserve">                                                 (име, фамилия, подпис, дата) </w:t>
      </w:r>
    </w:p>
    <w:p w:rsidR="00DB5602" w:rsidRPr="00344023" w:rsidRDefault="00DB5602" w:rsidP="00DB5602">
      <w:pPr>
        <w:spacing w:after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44023">
        <w:rPr>
          <w:rFonts w:ascii="Verdana" w:eastAsia="Times New Roman" w:hAnsi="Verdana" w:cs="Times New Roman"/>
          <w:sz w:val="18"/>
          <w:szCs w:val="18"/>
          <w:lang w:val="bg-BG"/>
        </w:rPr>
        <w:t>Представител на юридическото лице:…………………………………………………….………………………….</w:t>
      </w:r>
    </w:p>
    <w:p w:rsidR="00DB5602" w:rsidRPr="00344023" w:rsidRDefault="00DB5602" w:rsidP="00DB56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344023">
        <w:rPr>
          <w:rFonts w:ascii="Verdana" w:eastAsia="Times New Roman" w:hAnsi="Verdana" w:cs="Times New Roman"/>
          <w:sz w:val="18"/>
          <w:szCs w:val="18"/>
          <w:lang w:val="bg-BG"/>
        </w:rPr>
        <w:t xml:space="preserve">                                                 (име, фамилия, подпис, дата) </w:t>
      </w:r>
      <w:bookmarkStart w:id="0" w:name="_GoBack"/>
      <w:bookmarkEnd w:id="0"/>
    </w:p>
    <w:sectPr w:rsidR="00DB5602" w:rsidRPr="00344023" w:rsidSect="00654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6D" w:rsidRDefault="001B686D" w:rsidP="00654822">
      <w:pPr>
        <w:spacing w:after="0" w:line="240" w:lineRule="auto"/>
      </w:pPr>
      <w:r>
        <w:separator/>
      </w:r>
    </w:p>
  </w:endnote>
  <w:endnote w:type="continuationSeparator" w:id="0">
    <w:p w:rsidR="001B686D" w:rsidRDefault="001B686D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87" w:rsidRDefault="008A0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02A" w:rsidRPr="00654822" w:rsidRDefault="00DB702A" w:rsidP="00DB702A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Pr="00654822">
      <w:rPr>
        <w:rFonts w:ascii="Verdana" w:hAnsi="Verdana" w:cs="Tahoma"/>
        <w:bCs/>
        <w:iCs/>
        <w:sz w:val="18"/>
        <w:szCs w:val="18"/>
        <w:lang w:val="ru-RU"/>
      </w:rPr>
      <w:t>:</w:t>
    </w:r>
    <w:r w:rsidRPr="00654822">
      <w:rPr>
        <w:rFonts w:ascii="Verdana" w:hAnsi="Verdana" w:cs="Tahoma"/>
        <w:bCs/>
        <w:iCs/>
        <w:sz w:val="18"/>
        <w:szCs w:val="18"/>
        <w:lang w:val="be-BY"/>
      </w:rPr>
      <w:t xml:space="preserve"> </w:t>
    </w:r>
    <w:r>
      <w:rPr>
        <w:rFonts w:ascii="Verdana" w:hAnsi="Verdana" w:cs="Tahoma"/>
        <w:bCs/>
        <w:iCs/>
        <w:sz w:val="18"/>
        <w:szCs w:val="18"/>
        <w:lang w:val="be-BY"/>
      </w:rPr>
      <w:t>1</w:t>
    </w:r>
    <w:r w:rsidRPr="00654822">
      <w:rPr>
        <w:rFonts w:ascii="Verdana" w:hAnsi="Verdana" w:cs="Tahoma"/>
        <w:bCs/>
        <w:iCs/>
        <w:sz w:val="18"/>
        <w:szCs w:val="18"/>
        <w:lang w:val="be-BY"/>
      </w:rPr>
      <w:t xml:space="preserve"> Дата</w:t>
    </w:r>
    <w:r w:rsidR="008A0D87">
      <w:rPr>
        <w:rFonts w:ascii="Verdana" w:hAnsi="Verdana" w:cs="Tahoma"/>
        <w:bCs/>
        <w:iCs/>
        <w:sz w:val="18"/>
        <w:szCs w:val="18"/>
      </w:rPr>
      <w:t xml:space="preserve">  10.</w:t>
    </w:r>
    <w:r>
      <w:rPr>
        <w:rFonts w:ascii="Verdana" w:hAnsi="Verdana" w:cs="Tahoma"/>
        <w:bCs/>
        <w:iCs/>
        <w:sz w:val="18"/>
        <w:szCs w:val="18"/>
        <w:lang w:val="bg-BG"/>
      </w:rPr>
      <w:t>12.2021</w:t>
    </w:r>
  </w:p>
  <w:p w:rsidR="00654822" w:rsidRPr="00654822" w:rsidRDefault="00654822" w:rsidP="00654822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87" w:rsidRDefault="008A0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6D" w:rsidRDefault="001B686D" w:rsidP="00654822">
      <w:pPr>
        <w:spacing w:after="0" w:line="240" w:lineRule="auto"/>
      </w:pPr>
      <w:r>
        <w:separator/>
      </w:r>
    </w:p>
  </w:footnote>
  <w:footnote w:type="continuationSeparator" w:id="0">
    <w:p w:rsidR="001B686D" w:rsidRDefault="001B686D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87" w:rsidRDefault="008A0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93" w:rsidRDefault="00DF1293" w:rsidP="00DF1293">
    <w:pPr>
      <w:keepNext/>
      <w:widowControl w:val="0"/>
      <w:autoSpaceDE w:val="0"/>
      <w:autoSpaceDN w:val="0"/>
      <w:adjustRightInd w:val="0"/>
      <w:spacing w:after="0" w:line="240" w:lineRule="auto"/>
      <w:ind w:left="5580"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562C1B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(ОСП)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87" w:rsidRDefault="008A0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41FC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4A"/>
    <w:rsid w:val="00012F0E"/>
    <w:rsid w:val="000747C3"/>
    <w:rsid w:val="00096393"/>
    <w:rsid w:val="000B6C0A"/>
    <w:rsid w:val="000C2403"/>
    <w:rsid w:val="001726A9"/>
    <w:rsid w:val="001B686D"/>
    <w:rsid w:val="001E2719"/>
    <w:rsid w:val="0020123B"/>
    <w:rsid w:val="002A088A"/>
    <w:rsid w:val="002C39B8"/>
    <w:rsid w:val="002E0128"/>
    <w:rsid w:val="00344023"/>
    <w:rsid w:val="0039445F"/>
    <w:rsid w:val="0042339B"/>
    <w:rsid w:val="004C5A42"/>
    <w:rsid w:val="005134E5"/>
    <w:rsid w:val="00562C1B"/>
    <w:rsid w:val="005727B3"/>
    <w:rsid w:val="005746FF"/>
    <w:rsid w:val="005C4E4A"/>
    <w:rsid w:val="005F628C"/>
    <w:rsid w:val="00654822"/>
    <w:rsid w:val="00670BC2"/>
    <w:rsid w:val="006C0E4B"/>
    <w:rsid w:val="006D62E8"/>
    <w:rsid w:val="007B348D"/>
    <w:rsid w:val="00875C3D"/>
    <w:rsid w:val="00897270"/>
    <w:rsid w:val="008A0D87"/>
    <w:rsid w:val="00922146"/>
    <w:rsid w:val="00945332"/>
    <w:rsid w:val="009549E6"/>
    <w:rsid w:val="009D7C4E"/>
    <w:rsid w:val="009F5E32"/>
    <w:rsid w:val="00A07ABA"/>
    <w:rsid w:val="00A95065"/>
    <w:rsid w:val="00B11D86"/>
    <w:rsid w:val="00BD7599"/>
    <w:rsid w:val="00D85BFA"/>
    <w:rsid w:val="00DA53D5"/>
    <w:rsid w:val="00DB5602"/>
    <w:rsid w:val="00DB702A"/>
    <w:rsid w:val="00DF1293"/>
    <w:rsid w:val="00E63DED"/>
    <w:rsid w:val="00EE7E50"/>
    <w:rsid w:val="00F11F13"/>
    <w:rsid w:val="00F9124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CFF898F-8A86-49B4-9B70-B3C97DF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2374-C00F-4C5D-AEB6-675E2D9F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Georgieva</cp:lastModifiedBy>
  <cp:revision>6</cp:revision>
  <cp:lastPrinted>2021-12-17T12:10:00Z</cp:lastPrinted>
  <dcterms:created xsi:type="dcterms:W3CDTF">2021-12-17T13:57:00Z</dcterms:created>
  <dcterms:modified xsi:type="dcterms:W3CDTF">2021-12-21T13:41:00Z</dcterms:modified>
</cp:coreProperties>
</file>